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F" w:rsidRDefault="0011372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FA4ACE">
        <w:rPr>
          <w:spacing w:val="-8"/>
          <w:sz w:val="24"/>
          <w:szCs w:val="24"/>
        </w:rPr>
        <w:t>1</w:t>
      </w:r>
      <w:r w:rsidR="0009005B">
        <w:rPr>
          <w:spacing w:val="-8"/>
          <w:sz w:val="24"/>
          <w:szCs w:val="24"/>
        </w:rPr>
        <w:t>7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5C4BE7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участк</w:t>
      </w:r>
      <w:r w:rsidR="005C4BE7">
        <w:rPr>
          <w:spacing w:val="-8"/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5C4BE7">
        <w:rPr>
          <w:sz w:val="24"/>
          <w:szCs w:val="24"/>
        </w:rPr>
        <w:t>ого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5C4BE7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для индивидуального жилищного строительства.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рп Усть-Абакан, ул. Гидролизная, 9.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р.п.Усть-Абакан, ул. Гидролизная, 9.</w:t>
      </w:r>
    </w:p>
    <w:p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09005B">
        <w:rPr>
          <w:rFonts w:ascii="Times New Roman" w:hAnsi="Times New Roman" w:cs="Times New Roman"/>
          <w:b/>
          <w:bCs/>
          <w:spacing w:val="-8"/>
          <w:sz w:val="24"/>
          <w:szCs w:val="24"/>
        </w:rPr>
        <w:t>1</w:t>
      </w:r>
      <w:r w:rsidR="00501604">
        <w:rPr>
          <w:rFonts w:ascii="Times New Roman" w:hAnsi="Times New Roman" w:cs="Times New Roman"/>
          <w:b/>
          <w:bCs/>
          <w:spacing w:val="-8"/>
          <w:sz w:val="24"/>
          <w:szCs w:val="24"/>
        </w:rPr>
        <w:t>7</w:t>
      </w:r>
      <w:r w:rsidR="0009005B">
        <w:rPr>
          <w:rFonts w:ascii="Times New Roman" w:hAnsi="Times New Roman" w:cs="Times New Roman"/>
          <w:b/>
          <w:bCs/>
          <w:spacing w:val="-8"/>
          <w:sz w:val="24"/>
          <w:szCs w:val="24"/>
        </w:rPr>
        <w:t>.12.</w:t>
      </w:r>
      <w:r w:rsidR="005C4BE7">
        <w:rPr>
          <w:rFonts w:ascii="Times New Roman" w:hAnsi="Times New Roman" w:cs="Times New Roman"/>
          <w:b/>
          <w:bCs/>
          <w:spacing w:val="-8"/>
          <w:sz w:val="24"/>
          <w:szCs w:val="24"/>
        </w:rPr>
        <w:t>2024</w:t>
      </w:r>
      <w:r w:rsidR="00693E0A" w:rsidRPr="009628C6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4C6941" w:rsidRPr="00224932" w:rsidRDefault="004C6941" w:rsidP="004C6941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  <w:r w:rsidR="00FA4ACE">
        <w:rPr>
          <w:b/>
          <w:color w:val="000000"/>
          <w:spacing w:val="-10"/>
          <w:sz w:val="24"/>
          <w:szCs w:val="24"/>
        </w:rPr>
        <w:t>1</w:t>
      </w:r>
      <w:r w:rsidR="0009005B">
        <w:rPr>
          <w:b/>
          <w:color w:val="000000"/>
          <w:spacing w:val="-10"/>
          <w:sz w:val="24"/>
          <w:szCs w:val="24"/>
        </w:rPr>
        <w:t>7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  <w:r w:rsidR="009628C6" w:rsidRPr="00C96EBF">
        <w:rPr>
          <w:b/>
          <w:spacing w:val="-10"/>
          <w:sz w:val="24"/>
          <w:szCs w:val="24"/>
        </w:rPr>
        <w:t xml:space="preserve">от </w:t>
      </w:r>
      <w:r w:rsidR="0009005B">
        <w:rPr>
          <w:b/>
          <w:spacing w:val="-10"/>
          <w:sz w:val="24"/>
          <w:szCs w:val="24"/>
        </w:rPr>
        <w:t>1</w:t>
      </w:r>
      <w:r w:rsidR="00501604">
        <w:rPr>
          <w:b/>
          <w:spacing w:val="-10"/>
          <w:sz w:val="24"/>
          <w:szCs w:val="24"/>
        </w:rPr>
        <w:t>7</w:t>
      </w:r>
      <w:r w:rsidR="0009005B">
        <w:rPr>
          <w:b/>
          <w:spacing w:val="-10"/>
          <w:sz w:val="24"/>
          <w:szCs w:val="24"/>
        </w:rPr>
        <w:t>.12</w:t>
      </w:r>
      <w:r w:rsidR="005C4BE7">
        <w:rPr>
          <w:b/>
          <w:spacing w:val="-10"/>
          <w:sz w:val="24"/>
          <w:szCs w:val="24"/>
        </w:rPr>
        <w:t>.2024</w:t>
      </w:r>
      <w:r w:rsidR="009628C6" w:rsidRPr="00C96EBF">
        <w:rPr>
          <w:b/>
          <w:spacing w:val="-10"/>
          <w:sz w:val="24"/>
          <w:szCs w:val="24"/>
        </w:rPr>
        <w:t xml:space="preserve"> </w:t>
      </w:r>
    </w:p>
    <w:p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501604">
        <w:rPr>
          <w:rFonts w:ascii="Times New Roman" w:hAnsi="Times New Roman" w:cs="Times New Roman"/>
          <w:sz w:val="24"/>
          <w:szCs w:val="24"/>
        </w:rPr>
        <w:t>12</w:t>
      </w:r>
      <w:r w:rsidR="0009005B">
        <w:rPr>
          <w:rFonts w:ascii="Times New Roman" w:hAnsi="Times New Roman" w:cs="Times New Roman"/>
          <w:sz w:val="24"/>
          <w:szCs w:val="24"/>
        </w:rPr>
        <w:t>.11</w:t>
      </w:r>
      <w:r w:rsidR="00FA4ACE">
        <w:rPr>
          <w:rFonts w:ascii="Times New Roman" w:hAnsi="Times New Roman" w:cs="Times New Roman"/>
          <w:sz w:val="24"/>
          <w:szCs w:val="24"/>
        </w:rPr>
        <w:t>.</w:t>
      </w:r>
      <w:r w:rsidR="005C4BE7">
        <w:rPr>
          <w:rFonts w:ascii="Times New Roman" w:hAnsi="Times New Roman" w:cs="Times New Roman"/>
          <w:sz w:val="24"/>
          <w:szCs w:val="24"/>
        </w:rPr>
        <w:t>2024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5C4BE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0C0605">
        <w:rPr>
          <w:rFonts w:ascii="Times New Roman" w:hAnsi="Times New Roman" w:cs="Times New Roman"/>
          <w:sz w:val="24"/>
          <w:szCs w:val="24"/>
        </w:rPr>
        <w:t>12</w:t>
      </w:r>
      <w:r w:rsidR="0009005B">
        <w:rPr>
          <w:rFonts w:ascii="Times New Roman" w:hAnsi="Times New Roman" w:cs="Times New Roman"/>
          <w:sz w:val="24"/>
          <w:szCs w:val="24"/>
        </w:rPr>
        <w:t>.12</w:t>
      </w:r>
      <w:r w:rsidR="005C4BE7">
        <w:rPr>
          <w:rFonts w:ascii="Times New Roman" w:hAnsi="Times New Roman" w:cs="Times New Roman"/>
          <w:sz w:val="24"/>
          <w:szCs w:val="24"/>
        </w:rPr>
        <w:t>.2024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</w:p>
    <w:p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224932" w:rsidRPr="00260EA6" w:rsidRDefault="00590DAF" w:rsidP="00D64B0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9A250E">
        <w:rPr>
          <w:color w:val="000000"/>
          <w:spacing w:val="-6"/>
          <w:sz w:val="24"/>
          <w:szCs w:val="24"/>
        </w:rPr>
        <w:t>1</w:t>
      </w:r>
      <w:r w:rsidR="001E4E0C">
        <w:rPr>
          <w:color w:val="000000"/>
          <w:spacing w:val="-6"/>
          <w:sz w:val="24"/>
          <w:szCs w:val="24"/>
        </w:rPr>
        <w:t>7</w:t>
      </w:r>
      <w:r w:rsidR="00260EA6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1E4E0C">
        <w:rPr>
          <w:color w:val="000000"/>
          <w:spacing w:val="-6"/>
          <w:sz w:val="24"/>
          <w:szCs w:val="24"/>
        </w:rPr>
        <w:t>1</w:t>
      </w:r>
      <w:r w:rsidR="00E72728">
        <w:rPr>
          <w:color w:val="000000"/>
          <w:spacing w:val="-6"/>
          <w:sz w:val="24"/>
          <w:szCs w:val="24"/>
        </w:rPr>
        <w:t>7</w:t>
      </w:r>
      <w:r w:rsidR="001E4E0C">
        <w:rPr>
          <w:color w:val="000000"/>
          <w:spacing w:val="-6"/>
          <w:sz w:val="24"/>
          <w:szCs w:val="24"/>
        </w:rPr>
        <w:t>.12</w:t>
      </w:r>
      <w:r w:rsidR="00D64B03">
        <w:rPr>
          <w:color w:val="000000"/>
          <w:spacing w:val="-6"/>
          <w:sz w:val="24"/>
          <w:szCs w:val="24"/>
        </w:rPr>
        <w:t>.2024</w:t>
      </w:r>
      <w:r>
        <w:rPr>
          <w:color w:val="000000"/>
          <w:spacing w:val="-6"/>
          <w:sz w:val="24"/>
          <w:szCs w:val="24"/>
        </w:rPr>
        <w:t xml:space="preserve"> </w:t>
      </w:r>
      <w:r w:rsidRPr="00065CD9">
        <w:rPr>
          <w:color w:val="FF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9B12E0" w:rsidRDefault="00F37F1B" w:rsidP="00F37F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Республика Хакасия, Усть-Абаканский  район, </w:t>
      </w:r>
      <w:r w:rsidR="0010233E">
        <w:rPr>
          <w:rFonts w:eastAsia="Arial Unicode MS"/>
          <w:b/>
          <w:bCs/>
          <w:color w:val="000000"/>
          <w:sz w:val="24"/>
          <w:szCs w:val="24"/>
          <w:u w:val="single"/>
        </w:rPr>
        <w:t>с.Зеленое, ул.Б</w:t>
      </w:r>
      <w:r w:rsidR="00AF0201">
        <w:rPr>
          <w:rFonts w:eastAsia="Arial Unicode MS"/>
          <w:b/>
          <w:bCs/>
          <w:color w:val="000000"/>
          <w:sz w:val="24"/>
          <w:szCs w:val="24"/>
          <w:u w:val="single"/>
        </w:rPr>
        <w:t>отаническая</w:t>
      </w:r>
      <w:r w:rsidR="0010233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</w:t>
      </w:r>
      <w:r w:rsidR="00AF0201">
        <w:rPr>
          <w:rFonts w:eastAsia="Arial Unicode MS"/>
          <w:b/>
          <w:bCs/>
          <w:color w:val="000000"/>
          <w:sz w:val="24"/>
          <w:szCs w:val="24"/>
          <w:u w:val="single"/>
        </w:rPr>
        <w:t>1</w:t>
      </w:r>
      <w:r w:rsidR="009B12E0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:rsidR="00F37F1B" w:rsidRDefault="00F37F1B" w:rsidP="00F37F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AF0201">
        <w:rPr>
          <w:bCs/>
          <w:sz w:val="24"/>
          <w:szCs w:val="24"/>
        </w:rPr>
        <w:t>25</w:t>
      </w:r>
      <w:r w:rsidR="00A24A87">
        <w:rPr>
          <w:bCs/>
          <w:sz w:val="24"/>
          <w:szCs w:val="24"/>
        </w:rPr>
        <w:t>.10</w:t>
      </w:r>
      <w:r w:rsidR="009B12E0">
        <w:rPr>
          <w:bCs/>
          <w:sz w:val="24"/>
          <w:szCs w:val="24"/>
        </w:rPr>
        <w:t>.2024</w:t>
      </w:r>
      <w:r w:rsidRPr="003A38CD">
        <w:rPr>
          <w:bCs/>
          <w:sz w:val="24"/>
          <w:szCs w:val="24"/>
        </w:rPr>
        <w:t xml:space="preserve"> № </w:t>
      </w:r>
      <w:r w:rsidR="00AF0201">
        <w:rPr>
          <w:bCs/>
          <w:sz w:val="24"/>
          <w:szCs w:val="24"/>
        </w:rPr>
        <w:t>1005</w:t>
      </w:r>
      <w:r w:rsidR="00A24A8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п </w:t>
      </w:r>
      <w:r>
        <w:rPr>
          <w:bCs/>
          <w:color w:val="000000"/>
          <w:sz w:val="24"/>
          <w:szCs w:val="24"/>
        </w:rPr>
        <w:t>«О проведении аукциона</w:t>
      </w:r>
      <w:r w:rsidR="00D90A42">
        <w:rPr>
          <w:bCs/>
          <w:color w:val="000000"/>
          <w:sz w:val="24"/>
          <w:szCs w:val="24"/>
        </w:rPr>
        <w:t xml:space="preserve">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9B12E0" w:rsidRPr="0010233E" w:rsidRDefault="00F37F1B" w:rsidP="009B12E0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участка:</w:t>
      </w:r>
      <w:r w:rsidR="009B12E0">
        <w:rPr>
          <w:color w:val="000000"/>
          <w:sz w:val="24"/>
          <w:szCs w:val="24"/>
        </w:rPr>
        <w:t xml:space="preserve"> </w:t>
      </w:r>
      <w:r w:rsidR="0010233E" w:rsidRPr="0010233E">
        <w:rPr>
          <w:rFonts w:eastAsia="Arial Unicode MS"/>
          <w:bCs/>
          <w:color w:val="000000"/>
          <w:sz w:val="24"/>
          <w:szCs w:val="24"/>
        </w:rPr>
        <w:t>Республика Хакасия, Усть-Абаканский район, с.Зеленое, ул.Б</w:t>
      </w:r>
      <w:r w:rsidR="00DD5BE9">
        <w:rPr>
          <w:rFonts w:eastAsia="Arial Unicode MS"/>
          <w:bCs/>
          <w:color w:val="000000"/>
          <w:sz w:val="24"/>
          <w:szCs w:val="24"/>
        </w:rPr>
        <w:t>отаническая</w:t>
      </w:r>
      <w:r w:rsidR="0010233E" w:rsidRPr="0010233E">
        <w:rPr>
          <w:rFonts w:eastAsia="Arial Unicode MS"/>
          <w:bCs/>
          <w:color w:val="000000"/>
          <w:sz w:val="24"/>
          <w:szCs w:val="24"/>
        </w:rPr>
        <w:t xml:space="preserve">, </w:t>
      </w:r>
      <w:r w:rsidR="00DD5BE9">
        <w:rPr>
          <w:rFonts w:eastAsia="Arial Unicode MS"/>
          <w:bCs/>
          <w:color w:val="000000"/>
          <w:sz w:val="24"/>
          <w:szCs w:val="24"/>
        </w:rPr>
        <w:t>1</w:t>
      </w:r>
      <w:r w:rsidR="0010233E" w:rsidRPr="0010233E">
        <w:rPr>
          <w:rFonts w:eastAsia="Arial Unicode MS"/>
          <w:bCs/>
          <w:color w:val="000000"/>
          <w:sz w:val="24"/>
          <w:szCs w:val="24"/>
        </w:rPr>
        <w:t>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9B12E0">
        <w:rPr>
          <w:color w:val="000000"/>
        </w:rPr>
        <w:t>1</w:t>
      </w:r>
      <w:r w:rsidR="00304799">
        <w:rPr>
          <w:color w:val="000000"/>
        </w:rPr>
        <w:t>500</w:t>
      </w:r>
      <w:r>
        <w:rPr>
          <w:color w:val="000000"/>
        </w:rPr>
        <w:t xml:space="preserve"> кв.м.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</w:t>
      </w:r>
      <w:r w:rsidR="00304799">
        <w:rPr>
          <w:color w:val="000000"/>
        </w:rPr>
        <w:t>0401</w:t>
      </w:r>
      <w:r w:rsidR="00DD5BE9">
        <w:rPr>
          <w:color w:val="000000"/>
        </w:rPr>
        <w:t>0</w:t>
      </w:r>
      <w:r w:rsidR="004A3928">
        <w:rPr>
          <w:color w:val="000000"/>
        </w:rPr>
        <w:t>1</w:t>
      </w:r>
      <w:r>
        <w:rPr>
          <w:color w:val="000000"/>
        </w:rPr>
        <w:t>:</w:t>
      </w:r>
      <w:r w:rsidR="00DD5BE9">
        <w:rPr>
          <w:color w:val="000000"/>
        </w:rPr>
        <w:t>78</w:t>
      </w:r>
      <w:r>
        <w:rPr>
          <w:color w:val="000000"/>
        </w:rPr>
        <w:t>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6. Вид разрешенного использования: для</w:t>
      </w:r>
      <w:r w:rsidR="009B12E0">
        <w:rPr>
          <w:color w:val="000000"/>
        </w:rPr>
        <w:t xml:space="preserve"> индивидуального жилищного строительства</w:t>
      </w:r>
      <w:r>
        <w:rPr>
          <w:color w:val="000000"/>
        </w:rPr>
        <w:t>.</w:t>
      </w:r>
    </w:p>
    <w:p w:rsidR="00F37F1B" w:rsidRPr="003A38CD" w:rsidRDefault="00F37F1B" w:rsidP="00F37F1B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:rsidR="00E14710" w:rsidRDefault="00F37F1B" w:rsidP="00E14710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D90A42" w:rsidRPr="00D90A42">
        <w:t xml:space="preserve"> </w:t>
      </w:r>
      <w:r w:rsidR="00D90A42" w:rsidRPr="00D90A42">
        <w:rPr>
          <w:sz w:val="24"/>
          <w:szCs w:val="24"/>
        </w:rPr>
        <w:t>Ограничения прав на земельный участок, предусмотренные стать</w:t>
      </w:r>
      <w:r w:rsidR="00D90A42">
        <w:rPr>
          <w:sz w:val="24"/>
          <w:szCs w:val="24"/>
        </w:rPr>
        <w:t>ей</w:t>
      </w:r>
      <w:r w:rsidR="00D90A42"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6C616E">
        <w:rPr>
          <w:sz w:val="24"/>
          <w:szCs w:val="24"/>
        </w:rPr>
        <w:t>25.08</w:t>
      </w:r>
      <w:r w:rsidR="003E17EA">
        <w:rPr>
          <w:sz w:val="24"/>
          <w:szCs w:val="24"/>
        </w:rPr>
        <w:t>.2021</w:t>
      </w:r>
      <w:r w:rsidR="00D90A42" w:rsidRPr="00D90A42">
        <w:rPr>
          <w:sz w:val="24"/>
          <w:szCs w:val="24"/>
        </w:rPr>
        <w:t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  <w:r w:rsidR="004120C5">
        <w:rPr>
          <w:sz w:val="24"/>
          <w:szCs w:val="24"/>
        </w:rPr>
        <w:t xml:space="preserve"> </w:t>
      </w:r>
    </w:p>
    <w:p w:rsidR="00F37F1B" w:rsidRDefault="00F37F1B" w:rsidP="00F37F1B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3A38CD">
        <w:rPr>
          <w:sz w:val="24"/>
          <w:szCs w:val="24"/>
        </w:rPr>
        <w:t xml:space="preserve"> </w:t>
      </w:r>
      <w:r>
        <w:rPr>
          <w:sz w:val="24"/>
          <w:szCs w:val="24"/>
        </w:rPr>
        <w:t>20 лет.</w:t>
      </w:r>
    </w:p>
    <w:p w:rsidR="00190258" w:rsidRPr="004E747C" w:rsidRDefault="00F37F1B" w:rsidP="00190258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="00190258" w:rsidRPr="004E747C">
        <w:rPr>
          <w:b/>
          <w:bCs/>
          <w:color w:val="000000"/>
        </w:rPr>
        <w:t xml:space="preserve"> Предельные п</w:t>
      </w:r>
      <w:r w:rsidR="00190258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190258" w:rsidRPr="004E747C">
        <w:rPr>
          <w:b/>
          <w:bCs/>
          <w:color w:val="000000"/>
        </w:rPr>
        <w:t xml:space="preserve">Правилами землепользования и застройки </w:t>
      </w:r>
      <w:r w:rsidR="00FA1507">
        <w:rPr>
          <w:b/>
          <w:bCs/>
          <w:color w:val="000000"/>
        </w:rPr>
        <w:t>Опытненского</w:t>
      </w:r>
      <w:r w:rsidR="008B67AF">
        <w:rPr>
          <w:b/>
          <w:bCs/>
          <w:color w:val="000000"/>
        </w:rPr>
        <w:t xml:space="preserve"> </w:t>
      </w:r>
      <w:r w:rsidR="00190258" w:rsidRPr="004E747C">
        <w:rPr>
          <w:b/>
          <w:bCs/>
          <w:color w:val="000000"/>
        </w:rPr>
        <w:t>сельсовета</w:t>
      </w:r>
      <w:r w:rsidR="00190258" w:rsidRPr="004E747C">
        <w:rPr>
          <w:b/>
          <w:color w:val="000000"/>
        </w:rPr>
        <w:t>, в том числе:</w:t>
      </w:r>
    </w:p>
    <w:p w:rsidR="00190258" w:rsidRPr="004E747C" w:rsidRDefault="00190258" w:rsidP="00190258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C91AC6">
        <w:rPr>
          <w:color w:val="000000"/>
          <w:sz w:val="24"/>
          <w:szCs w:val="24"/>
        </w:rPr>
        <w:t>3</w:t>
      </w:r>
      <w:r w:rsidRPr="004E747C">
        <w:rPr>
          <w:color w:val="000000"/>
          <w:sz w:val="24"/>
          <w:szCs w:val="24"/>
        </w:rPr>
        <w:t>0%;</w:t>
      </w:r>
    </w:p>
    <w:p w:rsidR="00190258" w:rsidRPr="004E747C" w:rsidRDefault="00190258" w:rsidP="005E08B8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190258" w:rsidRPr="00916E49" w:rsidRDefault="00190258" w:rsidP="00190258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006E5F" w:rsidRDefault="00190258" w:rsidP="00006E5F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 w:rsidR="00DD5BE9">
        <w:rPr>
          <w:sz w:val="24"/>
          <w:szCs w:val="24"/>
        </w:rPr>
        <w:t>07.10</w:t>
      </w:r>
      <w:r w:rsidR="002F423A">
        <w:rPr>
          <w:sz w:val="24"/>
          <w:szCs w:val="24"/>
        </w:rPr>
        <w:t>.2024</w:t>
      </w:r>
      <w:r w:rsidRPr="00916E49">
        <w:rPr>
          <w:sz w:val="24"/>
          <w:szCs w:val="24"/>
        </w:rPr>
        <w:t xml:space="preserve"> № </w:t>
      </w:r>
      <w:r w:rsidR="00DD5BE9">
        <w:rPr>
          <w:sz w:val="24"/>
          <w:szCs w:val="24"/>
        </w:rPr>
        <w:t>156302</w:t>
      </w:r>
      <w:r w:rsidRPr="00916E49">
        <w:rPr>
          <w:sz w:val="24"/>
          <w:szCs w:val="24"/>
        </w:rPr>
        <w:t xml:space="preserve"> сообщает</w:t>
      </w:r>
      <w:r w:rsidR="00006E5F">
        <w:rPr>
          <w:sz w:val="24"/>
          <w:szCs w:val="24"/>
        </w:rPr>
        <w:t xml:space="preserve"> </w:t>
      </w:r>
      <w:r w:rsidR="00006E5F" w:rsidRPr="00916E49">
        <w:rPr>
          <w:sz w:val="24"/>
          <w:szCs w:val="24"/>
        </w:rPr>
        <w:t>о существовании технической возможности подключения вышеуказанного объекта</w:t>
      </w:r>
      <w:r w:rsidR="00006E5F">
        <w:rPr>
          <w:sz w:val="24"/>
          <w:szCs w:val="24"/>
        </w:rPr>
        <w:t xml:space="preserve"> к системе теплоснабжения</w:t>
      </w:r>
      <w:r w:rsidR="00006E5F" w:rsidRPr="00916E49">
        <w:rPr>
          <w:sz w:val="24"/>
          <w:szCs w:val="24"/>
        </w:rPr>
        <w:t>.</w:t>
      </w:r>
      <w:r w:rsidR="00006E5F"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:rsidR="00A42A0A" w:rsidRDefault="00A42A0A" w:rsidP="00A42A0A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</w:t>
      </w:r>
      <w:r>
        <w:rPr>
          <w:sz w:val="24"/>
          <w:szCs w:val="24"/>
        </w:rPr>
        <w:t>ас</w:t>
      </w:r>
      <w:r w:rsidRPr="00916E49">
        <w:rPr>
          <w:sz w:val="24"/>
          <w:szCs w:val="24"/>
        </w:rPr>
        <w:t xml:space="preserve">ресводоканал» от </w:t>
      </w:r>
      <w:r w:rsidR="00355F33">
        <w:rPr>
          <w:sz w:val="24"/>
          <w:szCs w:val="24"/>
        </w:rPr>
        <w:t>10.10</w:t>
      </w:r>
      <w:r>
        <w:rPr>
          <w:sz w:val="24"/>
          <w:szCs w:val="24"/>
        </w:rPr>
        <w:t>.2024</w:t>
      </w:r>
      <w:r w:rsidRPr="00916E49">
        <w:rPr>
          <w:sz w:val="24"/>
          <w:szCs w:val="24"/>
        </w:rPr>
        <w:t xml:space="preserve"> № </w:t>
      </w:r>
      <w:r w:rsidR="00355F33">
        <w:rPr>
          <w:sz w:val="24"/>
          <w:szCs w:val="24"/>
        </w:rPr>
        <w:t>1202</w:t>
      </w:r>
      <w:r>
        <w:rPr>
          <w:sz w:val="24"/>
          <w:szCs w:val="24"/>
        </w:rPr>
        <w:t>/07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  <w:r w:rsidRPr="007A7B17">
        <w:rPr>
          <w:color w:val="000000"/>
          <w:sz w:val="24"/>
          <w:szCs w:val="24"/>
        </w:rPr>
        <w:t xml:space="preserve"> </w:t>
      </w:r>
      <w:r w:rsidRPr="002854FB">
        <w:rPr>
          <w:color w:val="000000"/>
          <w:sz w:val="24"/>
          <w:szCs w:val="24"/>
        </w:rPr>
        <w:t xml:space="preserve">Проектом жилого дома должно быть предусмотрено обустройство </w:t>
      </w:r>
      <w:r>
        <w:rPr>
          <w:color w:val="000000"/>
          <w:sz w:val="24"/>
          <w:szCs w:val="24"/>
        </w:rPr>
        <w:t>в</w:t>
      </w:r>
      <w:r w:rsidRPr="002854FB">
        <w:rPr>
          <w:color w:val="000000"/>
          <w:sz w:val="24"/>
          <w:szCs w:val="24"/>
        </w:rPr>
        <w:t>одоотведения (септика) и водоснабжения (индивидуальная скважина)</w:t>
      </w:r>
      <w:r>
        <w:rPr>
          <w:color w:val="000000"/>
          <w:sz w:val="24"/>
          <w:szCs w:val="24"/>
        </w:rPr>
        <w:t>.</w:t>
      </w:r>
    </w:p>
    <w:p w:rsidR="00F37F1B" w:rsidRDefault="00190258" w:rsidP="00C91B69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филиала ПАО «Россети Сибири» от </w:t>
      </w:r>
      <w:r w:rsidR="00355F33">
        <w:t>21</w:t>
      </w:r>
      <w:r w:rsidR="00006E5F">
        <w:t>.10</w:t>
      </w:r>
      <w:r w:rsidR="002F423A">
        <w:t>.2024</w:t>
      </w:r>
      <w:r w:rsidRPr="00916E49">
        <w:t xml:space="preserve"> № 1.7/</w:t>
      </w:r>
      <w:r>
        <w:t>03</w:t>
      </w:r>
      <w:r w:rsidRPr="00916E49">
        <w:t>/</w:t>
      </w:r>
      <w:r w:rsidR="00355F33">
        <w:t>2915</w:t>
      </w:r>
      <w:r w:rsidRPr="00916E49"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>и объемов расходной составляющей проекта</w:t>
      </w:r>
      <w:r w:rsidR="00C91B69">
        <w:t xml:space="preserve"> </w:t>
      </w:r>
      <w:r w:rsidR="00F37F1B">
        <w:rPr>
          <w:color w:val="000000"/>
        </w:rPr>
        <w:t>(присоединения) жилого дома</w:t>
      </w:r>
      <w:r w:rsidR="00F37F1B">
        <w:t xml:space="preserve"> </w:t>
      </w:r>
      <w:r w:rsidR="00F37F1B">
        <w:rPr>
          <w:color w:val="000000"/>
        </w:rPr>
        <w:t>к сети электроснабжения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:rsidR="00F37F1B" w:rsidRDefault="00F37F1B" w:rsidP="00F37F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9025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:rsidR="00F37F1B" w:rsidRPr="00583A4A" w:rsidRDefault="00F37F1B" w:rsidP="00F37F1B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0258">
        <w:rPr>
          <w:sz w:val="24"/>
          <w:szCs w:val="24"/>
        </w:rPr>
        <w:t>2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992DA5">
        <w:rPr>
          <w:sz w:val="24"/>
          <w:szCs w:val="24"/>
        </w:rPr>
        <w:t>11059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992DA5">
        <w:rPr>
          <w:sz w:val="24"/>
          <w:szCs w:val="24"/>
        </w:rPr>
        <w:t>ей</w:t>
      </w:r>
      <w:r w:rsidR="003D6AFD">
        <w:rPr>
          <w:sz w:val="24"/>
          <w:szCs w:val="24"/>
        </w:rPr>
        <w:t xml:space="preserve"> </w:t>
      </w:r>
      <w:r w:rsidR="00992DA5">
        <w:rPr>
          <w:sz w:val="24"/>
          <w:szCs w:val="24"/>
        </w:rPr>
        <w:t>5</w:t>
      </w:r>
      <w:r w:rsidR="00AE5C8E">
        <w:rPr>
          <w:sz w:val="24"/>
          <w:szCs w:val="24"/>
        </w:rPr>
        <w:t>0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еек.</w:t>
      </w:r>
    </w:p>
    <w:p w:rsidR="00F37F1B" w:rsidRDefault="00F37F1B" w:rsidP="00F37F1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E72728" w:rsidRDefault="00E72728" w:rsidP="00E7272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первый год аренды (за 12 месяцев) Арендная плата вносится Арендатором единовременным платежом с учетом суммы задатка в счет ее оплаты, в течение десяти дней с даты регистрации договора аренды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:rsidR="00E72728" w:rsidRDefault="00E72728" w:rsidP="00E7272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A93">
        <w:rPr>
          <w:sz w:val="24"/>
          <w:szCs w:val="24"/>
          <w:u w:val="single"/>
        </w:rPr>
        <w:t>При расторжении договора в первый год аренды, Арендная плата за первый год аренды, внесенная Арендатором, перерасчету и возврату не подлежит</w:t>
      </w:r>
      <w:r>
        <w:rPr>
          <w:sz w:val="24"/>
          <w:szCs w:val="24"/>
        </w:rPr>
        <w:t>.</w:t>
      </w:r>
    </w:p>
    <w:p w:rsidR="00F37F1B" w:rsidRPr="00583A4A" w:rsidRDefault="00F37F1B" w:rsidP="00F37F1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992DA5">
        <w:rPr>
          <w:bCs/>
          <w:color w:val="000000"/>
          <w:sz w:val="24"/>
          <w:szCs w:val="24"/>
        </w:rPr>
        <w:t>331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 w:rsidR="003D6AFD">
        <w:rPr>
          <w:bCs/>
          <w:sz w:val="24"/>
          <w:szCs w:val="24"/>
        </w:rPr>
        <w:t>л</w:t>
      </w:r>
      <w:r w:rsidR="00992DA5">
        <w:rPr>
          <w:bCs/>
          <w:sz w:val="24"/>
          <w:szCs w:val="24"/>
        </w:rPr>
        <w:t>ь</w:t>
      </w:r>
      <w:r w:rsidRPr="00583A4A">
        <w:rPr>
          <w:bCs/>
          <w:sz w:val="24"/>
          <w:szCs w:val="24"/>
        </w:rPr>
        <w:t xml:space="preserve"> 00 коп</w:t>
      </w:r>
      <w:r w:rsidR="003D6AFD">
        <w:rPr>
          <w:bCs/>
          <w:sz w:val="24"/>
          <w:szCs w:val="24"/>
        </w:rPr>
        <w:t>еек</w:t>
      </w:r>
    </w:p>
    <w:p w:rsidR="00F37F1B" w:rsidRPr="00583A4A" w:rsidRDefault="00F37F1B" w:rsidP="00F37F1B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992DA5">
        <w:rPr>
          <w:bCs/>
          <w:sz w:val="24"/>
          <w:szCs w:val="24"/>
        </w:rPr>
        <w:t>11059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992DA5">
        <w:rPr>
          <w:sz w:val="24"/>
          <w:szCs w:val="24"/>
        </w:rPr>
        <w:t>ей</w:t>
      </w:r>
      <w:r w:rsidR="003D6AFD">
        <w:rPr>
          <w:sz w:val="24"/>
          <w:szCs w:val="24"/>
        </w:rPr>
        <w:t xml:space="preserve"> </w:t>
      </w:r>
      <w:r w:rsidR="00992DA5">
        <w:rPr>
          <w:sz w:val="24"/>
          <w:szCs w:val="24"/>
        </w:rPr>
        <w:t>50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</w:t>
      </w:r>
    </w:p>
    <w:p w:rsidR="00F37F1B" w:rsidRDefault="00F37F1B" w:rsidP="00F37F1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F37F1B" w:rsidRDefault="00F37F1B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</w:t>
      </w:r>
      <w:r w:rsidR="00227FDF">
        <w:rPr>
          <w:sz w:val="24"/>
          <w:szCs w:val="24"/>
        </w:rPr>
        <w:t>0401</w:t>
      </w:r>
      <w:r w:rsidR="00AA6E27">
        <w:rPr>
          <w:sz w:val="24"/>
          <w:szCs w:val="24"/>
        </w:rPr>
        <w:t>01</w:t>
      </w:r>
      <w:r>
        <w:rPr>
          <w:sz w:val="24"/>
          <w:szCs w:val="24"/>
        </w:rPr>
        <w:t>:</w:t>
      </w:r>
      <w:r w:rsidR="00AA6E27">
        <w:rPr>
          <w:sz w:val="24"/>
          <w:szCs w:val="24"/>
        </w:rPr>
        <w:t>78</w:t>
      </w:r>
      <w:r>
        <w:rPr>
          <w:sz w:val="24"/>
          <w:szCs w:val="24"/>
        </w:rPr>
        <w:t>.</w:t>
      </w:r>
    </w:p>
    <w:p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 участк</w:t>
      </w:r>
      <w:r w:rsidR="003D6AFD">
        <w:rPr>
          <w:b/>
          <w:bCs/>
          <w:sz w:val="24"/>
          <w:szCs w:val="24"/>
        </w:rPr>
        <w:t xml:space="preserve">ом </w:t>
      </w:r>
      <w:r w:rsidRPr="003170AC">
        <w:rPr>
          <w:b/>
          <w:bCs/>
          <w:sz w:val="24"/>
          <w:szCs w:val="24"/>
        </w:rPr>
        <w:t>на местности осуществляется самостоятельно.</w:t>
      </w:r>
    </w:p>
    <w:p w:rsidR="00224932" w:rsidRPr="009F3D88" w:rsidRDefault="00224932" w:rsidP="001E5FFA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966AAC">
        <w:rPr>
          <w:b/>
          <w:sz w:val="24"/>
          <w:szCs w:val="24"/>
        </w:rPr>
        <w:t>1</w:t>
      </w:r>
      <w:r w:rsidR="0038136E">
        <w:rPr>
          <w:b/>
          <w:sz w:val="24"/>
          <w:szCs w:val="24"/>
        </w:rPr>
        <w:t>7</w:t>
      </w:r>
      <w:r w:rsidRPr="00660E77">
        <w:rPr>
          <w:b/>
          <w:sz w:val="24"/>
          <w:szCs w:val="24"/>
        </w:rPr>
        <w:t xml:space="preserve"> от</w:t>
      </w:r>
      <w:r w:rsidR="00252DFB" w:rsidRPr="00660E77">
        <w:rPr>
          <w:b/>
          <w:sz w:val="24"/>
          <w:szCs w:val="24"/>
        </w:rPr>
        <w:t xml:space="preserve"> </w:t>
      </w:r>
      <w:r w:rsidR="0038136E">
        <w:rPr>
          <w:b/>
          <w:sz w:val="24"/>
          <w:szCs w:val="24"/>
        </w:rPr>
        <w:t>1</w:t>
      </w:r>
      <w:r w:rsidR="00E72728">
        <w:rPr>
          <w:b/>
          <w:sz w:val="24"/>
          <w:szCs w:val="24"/>
        </w:rPr>
        <w:t>7</w:t>
      </w:r>
      <w:r w:rsidR="0038136E">
        <w:rPr>
          <w:b/>
          <w:sz w:val="24"/>
          <w:szCs w:val="24"/>
        </w:rPr>
        <w:t>.12</w:t>
      </w:r>
      <w:r w:rsidR="003D6AFD">
        <w:rPr>
          <w:b/>
          <w:sz w:val="24"/>
          <w:szCs w:val="24"/>
        </w:rPr>
        <w:t>.2024</w:t>
      </w:r>
    </w:p>
    <w:p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«Совкомбанк» БИК 044525360</w:t>
      </w:r>
    </w:p>
    <w:p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площадке. 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920D9A">
        <w:rPr>
          <w:b/>
          <w:color w:val="000000"/>
          <w:sz w:val="24"/>
          <w:szCs w:val="24"/>
        </w:rPr>
        <w:t>1</w:t>
      </w:r>
      <w:r w:rsidR="00F74A02">
        <w:rPr>
          <w:b/>
          <w:color w:val="000000"/>
          <w:sz w:val="24"/>
          <w:szCs w:val="24"/>
        </w:rPr>
        <w:t>7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 </w:t>
      </w:r>
      <w:r w:rsidRPr="00ED28FB">
        <w:rPr>
          <w:rFonts w:ascii="Times New Roman" w:hAnsi="Times New Roman" w:cs="Times New Roman"/>
          <w:b/>
          <w:sz w:val="24"/>
          <w:szCs w:val="24"/>
        </w:rPr>
        <w:t>Один Заявитель вправе подать только одну Заявку</w:t>
      </w:r>
      <w:r w:rsidR="00AE5459" w:rsidRPr="00ED2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B3" w:rsidRPr="00ED28FB">
        <w:rPr>
          <w:rFonts w:ascii="Times New Roman" w:hAnsi="Times New Roman" w:cs="Times New Roman"/>
          <w:b/>
          <w:sz w:val="24"/>
          <w:szCs w:val="24"/>
        </w:rPr>
        <w:t>в</w:t>
      </w:r>
      <w:r w:rsidR="00741448" w:rsidRPr="00ED28FB">
        <w:rPr>
          <w:rFonts w:ascii="Times New Roman" w:hAnsi="Times New Roman" w:cs="Times New Roman"/>
          <w:b/>
          <w:sz w:val="24"/>
          <w:szCs w:val="24"/>
        </w:rPr>
        <w:t xml:space="preserve"> отношении каждого предмета аукциона (лота).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lastRenderedPageBreak/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8A27C0">
        <w:rPr>
          <w:sz w:val="24"/>
          <w:szCs w:val="24"/>
        </w:rPr>
        <w:t>1</w:t>
      </w:r>
      <w:r w:rsidR="00EA244C">
        <w:rPr>
          <w:sz w:val="24"/>
          <w:szCs w:val="24"/>
        </w:rPr>
        <w:t>7</w:t>
      </w:r>
      <w:r w:rsidRPr="00660E77">
        <w:rPr>
          <w:sz w:val="24"/>
          <w:szCs w:val="24"/>
        </w:rPr>
        <w:t xml:space="preserve"> </w:t>
      </w:r>
      <w:r w:rsidRPr="00660E77">
        <w:rPr>
          <w:sz w:val="24"/>
          <w:szCs w:val="24"/>
        </w:rPr>
        <w:lastRenderedPageBreak/>
        <w:t xml:space="preserve">состоится </w:t>
      </w:r>
      <w:r w:rsidR="00342552">
        <w:rPr>
          <w:sz w:val="24"/>
          <w:szCs w:val="24"/>
        </w:rPr>
        <w:t>1</w:t>
      </w:r>
      <w:r w:rsidR="00C63814">
        <w:rPr>
          <w:sz w:val="24"/>
          <w:szCs w:val="24"/>
        </w:rPr>
        <w:t>3</w:t>
      </w:r>
      <w:bookmarkStart w:id="0" w:name="_GoBack"/>
      <w:bookmarkEnd w:id="0"/>
      <w:r w:rsidR="00F83C9D">
        <w:rPr>
          <w:sz w:val="24"/>
          <w:szCs w:val="24"/>
        </w:rPr>
        <w:t>.12</w:t>
      </w:r>
      <w:r w:rsidR="008A27C0">
        <w:rPr>
          <w:sz w:val="24"/>
          <w:szCs w:val="24"/>
        </w:rPr>
        <w:t>.2024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рп Усть-Абакан, ул. Гидролизная, д.9, кабинет № 3.</w:t>
      </w:r>
    </w:p>
    <w:p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2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3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5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6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имеет право не позднее </w:t>
      </w:r>
      <w:r w:rsidR="005A64F9"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="00224932"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</w:t>
      </w:r>
      <w:r w:rsidR="00224932" w:rsidRPr="00224932">
        <w:rPr>
          <w:sz w:val="24"/>
          <w:szCs w:val="24"/>
        </w:rPr>
        <w:lastRenderedPageBreak/>
        <w:t xml:space="preserve">предусмотренных </w:t>
      </w:r>
      <w:hyperlink r:id="rId17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8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:rsidR="00224932" w:rsidRPr="00224932" w:rsidRDefault="00CF3E8F" w:rsidP="00CF3E8F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вправе принять решение о внесении изменений в Извещение не позднее чем за </w:t>
      </w:r>
      <w:r w:rsidR="005A64F9">
        <w:rPr>
          <w:sz w:val="24"/>
          <w:szCs w:val="24"/>
        </w:rPr>
        <w:t>5</w:t>
      </w:r>
      <w:r w:rsidR="00224932" w:rsidRPr="00224932">
        <w:rPr>
          <w:sz w:val="24"/>
          <w:szCs w:val="24"/>
        </w:rPr>
        <w:t xml:space="preserve"> (</w:t>
      </w:r>
      <w:r w:rsidR="005A64F9">
        <w:rPr>
          <w:sz w:val="24"/>
          <w:szCs w:val="24"/>
        </w:rPr>
        <w:t>пять</w:t>
      </w:r>
      <w:r w:rsidR="00224932" w:rsidRPr="00224932">
        <w:rPr>
          <w:sz w:val="24"/>
          <w:szCs w:val="24"/>
        </w:rPr>
        <w:t>) дн</w:t>
      </w:r>
      <w:r w:rsidR="005A64F9">
        <w:rPr>
          <w:sz w:val="24"/>
          <w:szCs w:val="24"/>
        </w:rPr>
        <w:t>ей</w:t>
      </w:r>
      <w:r w:rsidR="00224932"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="00224932"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D28FB" w:rsidRDefault="00ED28FB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8C4F9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8C4F9F" w:rsidRPr="00290355" w:rsidRDefault="008C4F9F" w:rsidP="008C4F9F">
      <w:pPr>
        <w:jc w:val="center"/>
        <w:rPr>
          <w:b/>
          <w:sz w:val="16"/>
          <w:szCs w:val="16"/>
        </w:rPr>
      </w:pPr>
      <w:r w:rsidRPr="00290355">
        <w:rPr>
          <w:b/>
          <w:sz w:val="16"/>
          <w:szCs w:val="16"/>
        </w:rPr>
        <w:t>ЗАЯВКА НА УЧАСТИЕ В АУКЦИОНЕ В ЭЛЕКТРОННОЙ ФОРМЕ</w:t>
      </w:r>
    </w:p>
    <w:p w:rsidR="008C4F9F" w:rsidRPr="00290355" w:rsidRDefault="008C4F9F" w:rsidP="008C4F9F">
      <w:pPr>
        <w:rPr>
          <w:b/>
          <w:sz w:val="16"/>
          <w:szCs w:val="16"/>
        </w:rPr>
      </w:pPr>
    </w:p>
    <w:p w:rsidR="008C4F9F" w:rsidRPr="00290355" w:rsidRDefault="008C4F9F" w:rsidP="008C4F9F">
      <w:pPr>
        <w:rPr>
          <w:sz w:val="16"/>
          <w:szCs w:val="16"/>
        </w:rPr>
      </w:pPr>
      <w:r w:rsidRPr="00290355">
        <w:rPr>
          <w:b/>
          <w:sz w:val="16"/>
          <w:szCs w:val="16"/>
        </w:rPr>
        <w:t xml:space="preserve">В </w:t>
      </w:r>
      <w:r w:rsidRPr="00290355">
        <w:rPr>
          <w:b/>
          <w:bCs/>
          <w:sz w:val="16"/>
          <w:szCs w:val="16"/>
        </w:rPr>
        <w:t>Аукционную комиссию</w:t>
      </w:r>
    </w:p>
    <w:p w:rsidR="008C4F9F" w:rsidRPr="00290355" w:rsidRDefault="008C4F9F" w:rsidP="008C4F9F">
      <w:pPr>
        <w:rPr>
          <w:sz w:val="16"/>
          <w:szCs w:val="16"/>
        </w:rPr>
      </w:pPr>
      <w:r w:rsidRPr="00290355">
        <w:rPr>
          <w:b/>
          <w:sz w:val="16"/>
          <w:szCs w:val="16"/>
        </w:rPr>
        <w:t>Заявитель</w:t>
      </w:r>
      <w:r w:rsidRPr="00290355">
        <w:rPr>
          <w:sz w:val="16"/>
          <w:szCs w:val="16"/>
        </w:rPr>
        <w:t xml:space="preserve"> __________________________________________________________________________________________________</w:t>
      </w:r>
    </w:p>
    <w:p w:rsidR="008C4F9F" w:rsidRPr="00290355" w:rsidRDefault="008C4F9F" w:rsidP="008C4F9F">
      <w:pPr>
        <w:jc w:val="center"/>
        <w:rPr>
          <w:sz w:val="16"/>
          <w:szCs w:val="16"/>
        </w:rPr>
      </w:pPr>
      <w:r w:rsidRPr="00290355">
        <w:rPr>
          <w:sz w:val="16"/>
          <w:szCs w:val="16"/>
        </w:rPr>
        <w:t xml:space="preserve">           (</w:t>
      </w:r>
      <w:r w:rsidRPr="00290355">
        <w:rPr>
          <w:bCs/>
          <w:sz w:val="16"/>
          <w:szCs w:val="16"/>
        </w:rPr>
        <w:t xml:space="preserve">Ф.И.О. гражданина  </w:t>
      </w:r>
      <w:r w:rsidRPr="00290355">
        <w:rPr>
          <w:sz w:val="16"/>
          <w:szCs w:val="16"/>
        </w:rPr>
        <w:t>)</w:t>
      </w:r>
    </w:p>
    <w:p w:rsidR="008C4F9F" w:rsidRPr="00290355" w:rsidRDefault="008C4F9F" w:rsidP="008C4F9F">
      <w:pPr>
        <w:jc w:val="center"/>
        <w:rPr>
          <w:sz w:val="16"/>
          <w:szCs w:val="16"/>
        </w:rPr>
      </w:pPr>
      <w:r w:rsidRPr="00290355">
        <w:rPr>
          <w:b/>
          <w:sz w:val="16"/>
          <w:szCs w:val="16"/>
        </w:rPr>
        <w:t>в лице</w:t>
      </w:r>
      <w:r w:rsidRPr="00290355">
        <w:rPr>
          <w:sz w:val="16"/>
          <w:szCs w:val="16"/>
        </w:rPr>
        <w:t xml:space="preserve"> __________________________________________________________________________________________________</w:t>
      </w:r>
    </w:p>
    <w:p w:rsidR="008C4F9F" w:rsidRPr="00290355" w:rsidRDefault="008C4F9F" w:rsidP="008C4F9F">
      <w:pPr>
        <w:jc w:val="center"/>
        <w:rPr>
          <w:sz w:val="16"/>
          <w:szCs w:val="16"/>
        </w:rPr>
      </w:pPr>
      <w:r w:rsidRPr="00290355">
        <w:rPr>
          <w:sz w:val="16"/>
          <w:szCs w:val="16"/>
        </w:rPr>
        <w:t>(</w:t>
      </w:r>
      <w:r w:rsidRPr="00290355">
        <w:rPr>
          <w:bCs/>
          <w:sz w:val="16"/>
          <w:szCs w:val="16"/>
        </w:rPr>
        <w:t>Ф.И.О лица действующего на основании доверенности</w:t>
      </w:r>
      <w:r w:rsidRPr="00290355">
        <w:rPr>
          <w:sz w:val="16"/>
          <w:szCs w:val="16"/>
        </w:rPr>
        <w:t>)</w:t>
      </w:r>
    </w:p>
    <w:p w:rsidR="008C4F9F" w:rsidRPr="00290355" w:rsidRDefault="008C4F9F" w:rsidP="008C4F9F">
      <w:pPr>
        <w:jc w:val="both"/>
        <w:rPr>
          <w:b/>
          <w:bCs/>
          <w:sz w:val="16"/>
          <w:szCs w:val="16"/>
        </w:rPr>
      </w:pPr>
      <w:r w:rsidRPr="00290355">
        <w:rPr>
          <w:b/>
          <w:bCs/>
          <w:sz w:val="16"/>
          <w:szCs w:val="16"/>
        </w:rPr>
        <w:t>действующего на основании</w:t>
      </w:r>
      <w:r w:rsidRPr="00290355">
        <w:rPr>
          <w:rStyle w:val="af"/>
          <w:b/>
          <w:bCs/>
          <w:sz w:val="16"/>
          <w:szCs w:val="16"/>
        </w:rPr>
        <w:footnoteReference w:id="1"/>
      </w:r>
      <w:r w:rsidRPr="00290355">
        <w:rPr>
          <w:sz w:val="16"/>
          <w:szCs w:val="16"/>
        </w:rPr>
        <w:t>_________________________________________________________________________________</w:t>
      </w:r>
    </w:p>
    <w:p w:rsidR="008C4F9F" w:rsidRPr="00290355" w:rsidRDefault="008C4F9F" w:rsidP="008C4F9F">
      <w:pPr>
        <w:jc w:val="center"/>
        <w:rPr>
          <w:b/>
          <w:sz w:val="16"/>
          <w:szCs w:val="16"/>
        </w:rPr>
      </w:pPr>
      <w:r w:rsidRPr="00290355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8C4F9F" w:rsidRPr="00290355" w:rsidTr="008E6066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C4F9F" w:rsidRPr="00290355" w:rsidTr="008E6066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C4F9F" w:rsidRPr="00290355" w:rsidRDefault="008C4F9F" w:rsidP="008E6066">
            <w:pPr>
              <w:rPr>
                <w:b/>
                <w:sz w:val="16"/>
                <w:szCs w:val="16"/>
              </w:rPr>
            </w:pPr>
            <w:r w:rsidRPr="00290355">
              <w:rPr>
                <w:b/>
                <w:sz w:val="16"/>
                <w:szCs w:val="16"/>
              </w:rPr>
              <w:t>Представитель Заявителя</w:t>
            </w:r>
            <w:r w:rsidRPr="00290355">
              <w:rPr>
                <w:rStyle w:val="af"/>
                <w:b/>
                <w:sz w:val="16"/>
                <w:szCs w:val="16"/>
              </w:rPr>
              <w:footnoteReference w:id="2"/>
            </w:r>
            <w:r w:rsidRPr="00290355">
              <w:rPr>
                <w:sz w:val="16"/>
                <w:szCs w:val="16"/>
              </w:rPr>
              <w:t>……………………………………(Ф.И.О.)…………………………………………………………..…….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8C4F9F" w:rsidRPr="00290355" w:rsidRDefault="008C4F9F" w:rsidP="008E6066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8C4F9F" w:rsidRPr="00290355" w:rsidRDefault="008C4F9F" w:rsidP="008C4F9F">
      <w:pPr>
        <w:widowControl w:val="0"/>
        <w:autoSpaceDE w:val="0"/>
        <w:ind w:hanging="1"/>
        <w:jc w:val="both"/>
        <w:rPr>
          <w:b/>
          <w:sz w:val="16"/>
          <w:szCs w:val="16"/>
        </w:rPr>
      </w:pPr>
      <w:r w:rsidRPr="00290355">
        <w:rPr>
          <w:sz w:val="16"/>
          <w:szCs w:val="16"/>
        </w:rPr>
        <w:tab/>
      </w:r>
      <w:r w:rsidRPr="00290355">
        <w:rPr>
          <w:b/>
          <w:sz w:val="16"/>
          <w:szCs w:val="16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290355">
        <w:rPr>
          <w:sz w:val="16"/>
          <w:szCs w:val="16"/>
        </w:rPr>
        <w:t xml:space="preserve">__________________________(сумма прописью), </w:t>
      </w:r>
      <w:r w:rsidRPr="00290355">
        <w:rPr>
          <w:b/>
          <w:sz w:val="16"/>
          <w:szCs w:val="16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8C4F9F" w:rsidRPr="00290355" w:rsidRDefault="008C4F9F" w:rsidP="008C4F9F">
      <w:pPr>
        <w:widowControl w:val="0"/>
        <w:autoSpaceDE w:val="0"/>
        <w:ind w:hanging="1"/>
        <w:jc w:val="both"/>
        <w:rPr>
          <w:b/>
          <w:sz w:val="16"/>
          <w:szCs w:val="16"/>
        </w:rPr>
      </w:pPr>
    </w:p>
    <w:p w:rsidR="008C4F9F" w:rsidRPr="00290355" w:rsidRDefault="008C4F9F" w:rsidP="008C4F9F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обязуется:</w:t>
      </w:r>
    </w:p>
    <w:p w:rsidR="008C4F9F" w:rsidRPr="00290355" w:rsidRDefault="008C4F9F" w:rsidP="008C4F9F">
      <w:pPr>
        <w:numPr>
          <w:ilvl w:val="1"/>
          <w:numId w:val="3"/>
        </w:numPr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290355">
        <w:rPr>
          <w:rStyle w:val="af"/>
          <w:sz w:val="16"/>
          <w:szCs w:val="16"/>
        </w:rPr>
        <w:footnoteReference w:id="3"/>
      </w:r>
    </w:p>
    <w:p w:rsidR="008C4F9F" w:rsidRPr="00290355" w:rsidRDefault="008C4F9F" w:rsidP="008C4F9F">
      <w:pPr>
        <w:numPr>
          <w:ilvl w:val="1"/>
          <w:numId w:val="3"/>
        </w:numPr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8C4F9F" w:rsidRPr="00290355" w:rsidRDefault="008C4F9F" w:rsidP="008C4F9F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290355">
        <w:rPr>
          <w:b/>
          <w:sz w:val="16"/>
          <w:szCs w:val="16"/>
        </w:rPr>
        <w:t>и не имеет претензий к ним</w:t>
      </w:r>
      <w:r w:rsidRPr="00290355">
        <w:rPr>
          <w:sz w:val="16"/>
          <w:szCs w:val="16"/>
        </w:rPr>
        <w:t>.</w:t>
      </w:r>
    </w:p>
    <w:p w:rsidR="008C4F9F" w:rsidRPr="00290355" w:rsidRDefault="008C4F9F" w:rsidP="008C4F9F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8C4F9F" w:rsidRPr="00290355" w:rsidRDefault="008C4F9F" w:rsidP="008C4F9F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8C4F9F" w:rsidRPr="00290355" w:rsidRDefault="008C4F9F" w:rsidP="008C4F9F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8C4F9F" w:rsidRPr="00290355" w:rsidRDefault="008C4F9F" w:rsidP="008C4F9F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290355">
        <w:rPr>
          <w:rStyle w:val="af"/>
          <w:sz w:val="16"/>
          <w:szCs w:val="16"/>
        </w:rPr>
        <w:footnoteReference w:id="4"/>
      </w:r>
      <w:r w:rsidRPr="00290355">
        <w:rPr>
          <w:sz w:val="16"/>
          <w:szCs w:val="16"/>
        </w:rPr>
        <w:t>.</w:t>
      </w:r>
    </w:p>
    <w:p w:rsidR="008C4F9F" w:rsidRPr="00290355" w:rsidRDefault="008C4F9F" w:rsidP="008C4F9F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290355">
        <w:rPr>
          <w:color w:val="000000" w:themeColor="text1"/>
          <w:sz w:val="16"/>
          <w:szCs w:val="16"/>
        </w:rPr>
        <w:t>ru</w:t>
      </w:r>
      <w:r w:rsidRPr="00290355">
        <w:rPr>
          <w:rStyle w:val="a3"/>
          <w:color w:val="000000" w:themeColor="text1"/>
          <w:sz w:val="16"/>
          <w:szCs w:val="16"/>
        </w:rPr>
        <w:t xml:space="preserve"> </w:t>
      </w:r>
      <w:r w:rsidRPr="00290355">
        <w:rPr>
          <w:rStyle w:val="a3"/>
          <w:color w:val="000000" w:themeColor="text1"/>
          <w:sz w:val="16"/>
          <w:szCs w:val="16"/>
          <w:u w:val="none"/>
        </w:rPr>
        <w:t>и сайте Оператора электронной площадки</w:t>
      </w:r>
      <w:r w:rsidRPr="00290355">
        <w:rPr>
          <w:sz w:val="16"/>
          <w:szCs w:val="16"/>
        </w:rPr>
        <w:t>.</w:t>
      </w:r>
    </w:p>
    <w:p w:rsidR="008C4F9F" w:rsidRPr="00290355" w:rsidRDefault="008C4F9F" w:rsidP="008C4F9F">
      <w:pPr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8.</w:t>
      </w:r>
      <w:r w:rsidRPr="00290355">
        <w:rPr>
          <w:sz w:val="16"/>
          <w:szCs w:val="16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8C4F9F" w:rsidRPr="00290355" w:rsidRDefault="008C4F9F" w:rsidP="008C4F9F">
      <w:pPr>
        <w:jc w:val="both"/>
        <w:rPr>
          <w:sz w:val="16"/>
          <w:szCs w:val="16"/>
        </w:rPr>
      </w:pPr>
    </w:p>
    <w:p w:rsidR="008C4F9F" w:rsidRPr="00290355" w:rsidRDefault="008C4F9F" w:rsidP="008C4F9F">
      <w:pPr>
        <w:jc w:val="both"/>
        <w:rPr>
          <w:sz w:val="16"/>
          <w:szCs w:val="16"/>
        </w:rPr>
      </w:pPr>
    </w:p>
    <w:p w:rsidR="008C4F9F" w:rsidRDefault="008C4F9F" w:rsidP="008C4F9F">
      <w:pPr>
        <w:jc w:val="both"/>
        <w:rPr>
          <w:sz w:val="24"/>
          <w:szCs w:val="24"/>
        </w:rPr>
      </w:pPr>
    </w:p>
    <w:p w:rsidR="008C4F9F" w:rsidRDefault="008C4F9F" w:rsidP="008C4F9F">
      <w:pPr>
        <w:jc w:val="both"/>
        <w:rPr>
          <w:sz w:val="24"/>
          <w:szCs w:val="24"/>
        </w:rPr>
      </w:pPr>
    </w:p>
    <w:p w:rsidR="008C4F9F" w:rsidRP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945C38" w:rsidRDefault="00945C38" w:rsidP="00935603"/>
    <w:p w:rsidR="00502366" w:rsidRDefault="00502366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:rsidR="005A45AA" w:rsidRDefault="005A45AA" w:rsidP="005A45AA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ПРОЕКТ</w:t>
      </w:r>
    </w:p>
    <w:p w:rsidR="005A45AA" w:rsidRDefault="005A45AA" w:rsidP="005A45AA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:rsidR="005A45AA" w:rsidRDefault="005A45AA" w:rsidP="005A45A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рп Усть-Абакан                                                                               ______________года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района,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 xml:space="preserve">, в лице _______________, с одной стороны, и  ____________________, именуемый(-ая,)в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>с другой стороны, а вместе именуемые «Стороны» или каждый по отдельности – «Сторона», руководствуясь пп.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5A45AA" w:rsidRDefault="005A45AA" w:rsidP="005A45AA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«__»___2024 года. </w:t>
      </w:r>
    </w:p>
    <w:p w:rsidR="005A45AA" w:rsidRDefault="005A45AA" w:rsidP="005A45AA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19:10:040101:78, общей площадью 1500 кв. м (категория земель – земли населенных пунктов), расположенный по адресу: Республика Хакасия, Усть-Абаканский район, с. Зеленое, ул. Ботаническая, 1</w:t>
      </w:r>
      <w:r>
        <w:rPr>
          <w:rFonts w:eastAsia="Arial Unicode MS"/>
          <w:bCs/>
          <w:color w:val="000000"/>
          <w:sz w:val="24"/>
          <w:szCs w:val="24"/>
        </w:rPr>
        <w:t>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для индивидуального жилищного строительства, целевое использование: для строительства жилого дома. Изменение Арендатором вида разрешенного использования Участка не допускается.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20 лет.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«__»___2024 года и составляет ________ руб.__ коп.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За первый год аренды (за 12 месяцев) Арендная плата вносится Арендатором единовременным платежом в размере   _________, с </w:t>
      </w:r>
      <w:r w:rsidR="0068294C">
        <w:rPr>
          <w:sz w:val="24"/>
          <w:szCs w:val="24"/>
        </w:rPr>
        <w:t>учетом</w:t>
      </w:r>
      <w:r>
        <w:rPr>
          <w:sz w:val="24"/>
          <w:szCs w:val="24"/>
        </w:rPr>
        <w:t xml:space="preserve">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расторжении договора в первый год аренды, Арендная плата за первый год аренды, внесенная Арендатором, перерасчету и возврату не подлежит.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95630435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sz w:val="24"/>
          <w:szCs w:val="24"/>
        </w:rPr>
        <w:t>В отделение НБ - Республики Хакасия Банка России/УФК по Республике Хакасия г.Абакан</w:t>
      </w:r>
    </w:p>
    <w:p w:rsidR="005A45AA" w:rsidRDefault="005A45AA" w:rsidP="005A45AA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</w:t>
      </w:r>
      <w:r>
        <w:rPr>
          <w:sz w:val="24"/>
          <w:szCs w:val="24"/>
        </w:rPr>
        <w:lastRenderedPageBreak/>
        <w:t>прекращаются со дня регистрации права собственности на Участок.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5A45AA" w:rsidRDefault="005A45AA" w:rsidP="005A45AA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:rsidR="005A45AA" w:rsidRDefault="005A45AA" w:rsidP="005A45AA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:rsidR="005A45AA" w:rsidRDefault="005A45AA" w:rsidP="005A45AA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4.3.3.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Соблюдать порядок и чистоту на Участке и прилегающей территории.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4.3.8. Получить разрешение на строительство в установленном законном порядке, за исключением случаев, предусмотренных действующим законодательством.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В случае обнаружения на Участке неучтенных подземных инженерных коммуникаций, </w:t>
      </w:r>
      <w:r>
        <w:rPr>
          <w:sz w:val="24"/>
          <w:szCs w:val="24"/>
        </w:rPr>
        <w:lastRenderedPageBreak/>
        <w:t>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4.3.11. В случае расторжения Договора вернуть Участок Арендодателю в первоначальном состоянии.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Наличие ограничения (обременения): Ограничения прав на земельный участок, предусмотренные статьей 56 Земельного кодекса Российской Федерации. Срок действия: с 25.08.2021.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 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5A45AA" w:rsidRDefault="005A45AA" w:rsidP="005A45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:rsidR="005A45AA" w:rsidRDefault="005A45AA" w:rsidP="005A45A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5A45AA" w:rsidTr="003C71B7">
        <w:trPr>
          <w:trHeight w:val="866"/>
        </w:trPr>
        <w:tc>
          <w:tcPr>
            <w:tcW w:w="4928" w:type="dxa"/>
          </w:tcPr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района</w:t>
            </w:r>
          </w:p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рп. Усть-Абакан, ул. Гидролизная, 9, </w:t>
            </w:r>
          </w:p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:rsidR="005A45AA" w:rsidRDefault="005A45AA" w:rsidP="003C71B7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5A45AA" w:rsidTr="003C71B7">
              <w:trPr>
                <w:trHeight w:val="1006"/>
              </w:trPr>
              <w:tc>
                <w:tcPr>
                  <w:tcW w:w="4643" w:type="dxa"/>
                </w:tcPr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(ая)  по адресу:</w:t>
                  </w:r>
                </w:p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:rsidR="005A45AA" w:rsidRDefault="005A45AA" w:rsidP="003C71B7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A45AA" w:rsidRDefault="005A45AA" w:rsidP="003C71B7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A45AA" w:rsidRDefault="005A45AA" w:rsidP="005A45AA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:rsidR="005A45AA" w:rsidRDefault="005A45AA" w:rsidP="005A45AA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:rsidR="005A45AA" w:rsidRDefault="005A45AA" w:rsidP="005A45AA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:rsidR="005A45AA" w:rsidRDefault="005A45AA" w:rsidP="005A45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:rsidR="005A45AA" w:rsidRDefault="005A45AA" w:rsidP="005A45AA"/>
    <w:p w:rsidR="00EA13C0" w:rsidRDefault="00EA13C0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673773" w:rsidRDefault="00673773" w:rsidP="00673773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Управления</w:t>
      </w:r>
    </w:p>
    <w:p w:rsidR="00673773" w:rsidRDefault="00673773" w:rsidP="00673773">
      <w:pPr>
        <w:jc w:val="both"/>
        <w:rPr>
          <w:sz w:val="24"/>
          <w:szCs w:val="24"/>
        </w:rPr>
      </w:pPr>
      <w:r>
        <w:rPr>
          <w:sz w:val="24"/>
          <w:szCs w:val="24"/>
        </w:rPr>
        <w:t>имущественных и земельных отношений</w:t>
      </w:r>
    </w:p>
    <w:p w:rsidR="00673773" w:rsidRDefault="00673773" w:rsidP="00673773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Усть-Абаканского района                                                              Макшина Н.И.</w:t>
      </w:r>
    </w:p>
    <w:p w:rsidR="00673773" w:rsidRDefault="00673773" w:rsidP="00673773">
      <w:pPr>
        <w:jc w:val="both"/>
        <w:rPr>
          <w:sz w:val="16"/>
          <w:szCs w:val="16"/>
        </w:rPr>
      </w:pPr>
    </w:p>
    <w:p w:rsidR="00673773" w:rsidRDefault="00673773" w:rsidP="00673773">
      <w:pPr>
        <w:jc w:val="both"/>
        <w:rPr>
          <w:sz w:val="16"/>
          <w:szCs w:val="16"/>
        </w:rPr>
      </w:pPr>
    </w:p>
    <w:p w:rsidR="00673773" w:rsidRDefault="00673773" w:rsidP="00673773">
      <w:pPr>
        <w:jc w:val="both"/>
        <w:rPr>
          <w:sz w:val="16"/>
          <w:szCs w:val="16"/>
        </w:rPr>
      </w:pPr>
    </w:p>
    <w:p w:rsidR="00673773" w:rsidRDefault="00673773" w:rsidP="0067377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аукционной комиссии: Балахонова Т.В._________</w:t>
      </w:r>
    </w:p>
    <w:p w:rsidR="00673773" w:rsidRDefault="00673773" w:rsidP="00673773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председателя: Лутченко О.В.___________</w:t>
      </w:r>
    </w:p>
    <w:p w:rsidR="00673773" w:rsidRDefault="00673773" w:rsidP="00673773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 комиссии: Гуляева М.В._________</w:t>
      </w:r>
    </w:p>
    <w:p w:rsidR="00673773" w:rsidRPr="00C32ED7" w:rsidRDefault="00673773" w:rsidP="00673773"/>
    <w:p w:rsidR="00673773" w:rsidRDefault="00673773" w:rsidP="00673773">
      <w:pPr>
        <w:pStyle w:val="ConsNormal"/>
        <w:widowControl/>
        <w:ind w:firstLine="0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673773" w:rsidSect="008C4F9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8F" w:rsidRDefault="003F308F" w:rsidP="00484FA0">
      <w:r>
        <w:separator/>
      </w:r>
    </w:p>
  </w:endnote>
  <w:endnote w:type="continuationSeparator" w:id="0">
    <w:p w:rsidR="003F308F" w:rsidRDefault="003F308F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8F" w:rsidRDefault="003F308F" w:rsidP="00484FA0">
      <w:r>
        <w:separator/>
      </w:r>
    </w:p>
  </w:footnote>
  <w:footnote w:type="continuationSeparator" w:id="0">
    <w:p w:rsidR="003F308F" w:rsidRDefault="003F308F" w:rsidP="00484FA0">
      <w:r>
        <w:continuationSeparator/>
      </w:r>
    </w:p>
  </w:footnote>
  <w:footnote w:id="1">
    <w:p w:rsidR="008C4F9F" w:rsidRPr="00A07B0F" w:rsidRDefault="008C4F9F" w:rsidP="008C4F9F">
      <w:pPr>
        <w:pStyle w:val="af0"/>
        <w:spacing w:line="216" w:lineRule="auto"/>
        <w:contextualSpacing/>
        <w:jc w:val="both"/>
        <w:rPr>
          <w:lang w:val="ru-RU"/>
        </w:rPr>
      </w:pPr>
      <w:bookmarkStart w:id="1" w:name="_Hlk92875634"/>
      <w:r>
        <w:rPr>
          <w:rStyle w:val="af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1"/>
  </w:footnote>
  <w:footnote w:id="2">
    <w:p w:rsidR="008C4F9F" w:rsidRPr="00A07B0F" w:rsidRDefault="008C4F9F" w:rsidP="008C4F9F">
      <w:pPr>
        <w:spacing w:line="216" w:lineRule="auto"/>
        <w:contextualSpacing/>
        <w:jc w:val="both"/>
      </w:pPr>
      <w:r w:rsidRPr="00CE56B2">
        <w:rPr>
          <w:rStyle w:val="af"/>
        </w:rPr>
        <w:footnoteRef/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8C4F9F" w:rsidRPr="000F1D3E" w:rsidRDefault="008C4F9F" w:rsidP="008C4F9F">
      <w:pPr>
        <w:pStyle w:val="af0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f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8C4F9F" w:rsidRPr="0058502F" w:rsidRDefault="008C4F9F" w:rsidP="008C4F9F">
      <w:pPr>
        <w:pStyle w:val="af0"/>
        <w:spacing w:line="216" w:lineRule="auto"/>
        <w:contextualSpacing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6"/>
    <w:rsid w:val="00006E5F"/>
    <w:rsid w:val="00036AD2"/>
    <w:rsid w:val="00054833"/>
    <w:rsid w:val="000648A2"/>
    <w:rsid w:val="00076472"/>
    <w:rsid w:val="0007690E"/>
    <w:rsid w:val="00085606"/>
    <w:rsid w:val="0009005B"/>
    <w:rsid w:val="00097744"/>
    <w:rsid w:val="000A2088"/>
    <w:rsid w:val="000A5B9A"/>
    <w:rsid w:val="000A7935"/>
    <w:rsid w:val="000C0605"/>
    <w:rsid w:val="000C47EF"/>
    <w:rsid w:val="000D0973"/>
    <w:rsid w:val="000D125B"/>
    <w:rsid w:val="000D4DCE"/>
    <w:rsid w:val="000D787E"/>
    <w:rsid w:val="000E32DB"/>
    <w:rsid w:val="000F7BD4"/>
    <w:rsid w:val="0010233E"/>
    <w:rsid w:val="0011372F"/>
    <w:rsid w:val="001149FA"/>
    <w:rsid w:val="00121A1D"/>
    <w:rsid w:val="00133F25"/>
    <w:rsid w:val="001342DE"/>
    <w:rsid w:val="00142142"/>
    <w:rsid w:val="0014589B"/>
    <w:rsid w:val="001508AC"/>
    <w:rsid w:val="0015337F"/>
    <w:rsid w:val="001640AC"/>
    <w:rsid w:val="00172765"/>
    <w:rsid w:val="00173546"/>
    <w:rsid w:val="00182EDA"/>
    <w:rsid w:val="00190258"/>
    <w:rsid w:val="001A5A8A"/>
    <w:rsid w:val="001C5E1D"/>
    <w:rsid w:val="001C6F1D"/>
    <w:rsid w:val="001E03ED"/>
    <w:rsid w:val="001E4E0C"/>
    <w:rsid w:val="001E5FFA"/>
    <w:rsid w:val="002164A8"/>
    <w:rsid w:val="00224932"/>
    <w:rsid w:val="00227FDF"/>
    <w:rsid w:val="00252DFB"/>
    <w:rsid w:val="00260EA6"/>
    <w:rsid w:val="0027700B"/>
    <w:rsid w:val="00290A73"/>
    <w:rsid w:val="002C229A"/>
    <w:rsid w:val="002D0D25"/>
    <w:rsid w:val="002F38AE"/>
    <w:rsid w:val="002F423A"/>
    <w:rsid w:val="00304799"/>
    <w:rsid w:val="003059A3"/>
    <w:rsid w:val="003068D9"/>
    <w:rsid w:val="003102A3"/>
    <w:rsid w:val="003170AC"/>
    <w:rsid w:val="00342552"/>
    <w:rsid w:val="003476F0"/>
    <w:rsid w:val="00355F33"/>
    <w:rsid w:val="003656A0"/>
    <w:rsid w:val="0038136E"/>
    <w:rsid w:val="00382444"/>
    <w:rsid w:val="003833B5"/>
    <w:rsid w:val="003A38CD"/>
    <w:rsid w:val="003B38AE"/>
    <w:rsid w:val="003B413E"/>
    <w:rsid w:val="003D6AFD"/>
    <w:rsid w:val="003E17EA"/>
    <w:rsid w:val="003F308F"/>
    <w:rsid w:val="004120C5"/>
    <w:rsid w:val="00414977"/>
    <w:rsid w:val="00421DD3"/>
    <w:rsid w:val="00423707"/>
    <w:rsid w:val="004309E4"/>
    <w:rsid w:val="00442344"/>
    <w:rsid w:val="00451310"/>
    <w:rsid w:val="00457FF7"/>
    <w:rsid w:val="004833E0"/>
    <w:rsid w:val="00484FA0"/>
    <w:rsid w:val="004A3928"/>
    <w:rsid w:val="004B35F1"/>
    <w:rsid w:val="004C6941"/>
    <w:rsid w:val="004E6F05"/>
    <w:rsid w:val="00501604"/>
    <w:rsid w:val="00502366"/>
    <w:rsid w:val="00511BF3"/>
    <w:rsid w:val="00516796"/>
    <w:rsid w:val="00533DA1"/>
    <w:rsid w:val="00546944"/>
    <w:rsid w:val="005758DE"/>
    <w:rsid w:val="00590DAF"/>
    <w:rsid w:val="005A45AA"/>
    <w:rsid w:val="005A47C4"/>
    <w:rsid w:val="005A64F9"/>
    <w:rsid w:val="005A6E92"/>
    <w:rsid w:val="005C4BE7"/>
    <w:rsid w:val="005D1AB1"/>
    <w:rsid w:val="005E08B8"/>
    <w:rsid w:val="005E0D5F"/>
    <w:rsid w:val="005E2AAA"/>
    <w:rsid w:val="00627F43"/>
    <w:rsid w:val="0063160C"/>
    <w:rsid w:val="006323A7"/>
    <w:rsid w:val="00651090"/>
    <w:rsid w:val="00660E77"/>
    <w:rsid w:val="00673773"/>
    <w:rsid w:val="0068294C"/>
    <w:rsid w:val="00693E0A"/>
    <w:rsid w:val="00697C60"/>
    <w:rsid w:val="006A782E"/>
    <w:rsid w:val="006B118F"/>
    <w:rsid w:val="006C616E"/>
    <w:rsid w:val="006C6B67"/>
    <w:rsid w:val="006C7567"/>
    <w:rsid w:val="006C7923"/>
    <w:rsid w:val="0070501F"/>
    <w:rsid w:val="00705F95"/>
    <w:rsid w:val="00741448"/>
    <w:rsid w:val="007751CD"/>
    <w:rsid w:val="007A0B8A"/>
    <w:rsid w:val="00802C55"/>
    <w:rsid w:val="0082150F"/>
    <w:rsid w:val="00846D3B"/>
    <w:rsid w:val="00861FC9"/>
    <w:rsid w:val="0086383E"/>
    <w:rsid w:val="0086457C"/>
    <w:rsid w:val="0088712B"/>
    <w:rsid w:val="00890557"/>
    <w:rsid w:val="008A1524"/>
    <w:rsid w:val="008A27C0"/>
    <w:rsid w:val="008A7820"/>
    <w:rsid w:val="008B67AF"/>
    <w:rsid w:val="008C4F9F"/>
    <w:rsid w:val="008C60AD"/>
    <w:rsid w:val="008C689B"/>
    <w:rsid w:val="008E10E9"/>
    <w:rsid w:val="008F6F93"/>
    <w:rsid w:val="00902D88"/>
    <w:rsid w:val="00920D9A"/>
    <w:rsid w:val="00932988"/>
    <w:rsid w:val="00935603"/>
    <w:rsid w:val="00945C38"/>
    <w:rsid w:val="009462E3"/>
    <w:rsid w:val="00946C22"/>
    <w:rsid w:val="009605C1"/>
    <w:rsid w:val="009628C6"/>
    <w:rsid w:val="00966AAC"/>
    <w:rsid w:val="00992DA5"/>
    <w:rsid w:val="009A15F7"/>
    <w:rsid w:val="009A250E"/>
    <w:rsid w:val="009B12E0"/>
    <w:rsid w:val="009B2A93"/>
    <w:rsid w:val="009B3A0C"/>
    <w:rsid w:val="009D388A"/>
    <w:rsid w:val="009F3BDB"/>
    <w:rsid w:val="009F3D88"/>
    <w:rsid w:val="00A24A87"/>
    <w:rsid w:val="00A24EAD"/>
    <w:rsid w:val="00A42A0A"/>
    <w:rsid w:val="00A76E42"/>
    <w:rsid w:val="00AA09F2"/>
    <w:rsid w:val="00AA6E27"/>
    <w:rsid w:val="00AB1030"/>
    <w:rsid w:val="00AC7DCD"/>
    <w:rsid w:val="00AE5459"/>
    <w:rsid w:val="00AE5C8E"/>
    <w:rsid w:val="00AF0201"/>
    <w:rsid w:val="00B03469"/>
    <w:rsid w:val="00B44B15"/>
    <w:rsid w:val="00B56367"/>
    <w:rsid w:val="00B66089"/>
    <w:rsid w:val="00B82296"/>
    <w:rsid w:val="00BA059F"/>
    <w:rsid w:val="00BA6719"/>
    <w:rsid w:val="00BC7128"/>
    <w:rsid w:val="00BD66B3"/>
    <w:rsid w:val="00C05584"/>
    <w:rsid w:val="00C242B9"/>
    <w:rsid w:val="00C63814"/>
    <w:rsid w:val="00C83623"/>
    <w:rsid w:val="00C87C07"/>
    <w:rsid w:val="00C91AC6"/>
    <w:rsid w:val="00C91B69"/>
    <w:rsid w:val="00C96EBF"/>
    <w:rsid w:val="00CB260F"/>
    <w:rsid w:val="00CD0474"/>
    <w:rsid w:val="00CD2026"/>
    <w:rsid w:val="00CD4FD9"/>
    <w:rsid w:val="00CE35C8"/>
    <w:rsid w:val="00CF3E8F"/>
    <w:rsid w:val="00CF69A0"/>
    <w:rsid w:val="00D22E7D"/>
    <w:rsid w:val="00D4510D"/>
    <w:rsid w:val="00D64B03"/>
    <w:rsid w:val="00D71FA5"/>
    <w:rsid w:val="00D86D15"/>
    <w:rsid w:val="00D90A42"/>
    <w:rsid w:val="00DC3DF8"/>
    <w:rsid w:val="00DD5BE9"/>
    <w:rsid w:val="00DE3477"/>
    <w:rsid w:val="00DF1D5B"/>
    <w:rsid w:val="00DF1ECA"/>
    <w:rsid w:val="00DF4F15"/>
    <w:rsid w:val="00DF61A3"/>
    <w:rsid w:val="00E039A5"/>
    <w:rsid w:val="00E062A7"/>
    <w:rsid w:val="00E14710"/>
    <w:rsid w:val="00E243AC"/>
    <w:rsid w:val="00E259A6"/>
    <w:rsid w:val="00E33FAD"/>
    <w:rsid w:val="00E43BCA"/>
    <w:rsid w:val="00E65222"/>
    <w:rsid w:val="00E72728"/>
    <w:rsid w:val="00E7288C"/>
    <w:rsid w:val="00EA13C0"/>
    <w:rsid w:val="00EA244C"/>
    <w:rsid w:val="00EA7D63"/>
    <w:rsid w:val="00ED28FB"/>
    <w:rsid w:val="00F07806"/>
    <w:rsid w:val="00F37F1B"/>
    <w:rsid w:val="00F524D0"/>
    <w:rsid w:val="00F553BC"/>
    <w:rsid w:val="00F55C47"/>
    <w:rsid w:val="00F74A02"/>
    <w:rsid w:val="00F83C9D"/>
    <w:rsid w:val="00F9138E"/>
    <w:rsid w:val="00FA1507"/>
    <w:rsid w:val="00FA4ACE"/>
    <w:rsid w:val="00FC31AC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54DA1B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7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A60E4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4645-40C3-40B0-A242-4AA44EF5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12</Pages>
  <Words>6518</Words>
  <Characters>37157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166</cp:revision>
  <cp:lastPrinted>2024-11-01T07:36:00Z</cp:lastPrinted>
  <dcterms:created xsi:type="dcterms:W3CDTF">2023-03-27T03:21:00Z</dcterms:created>
  <dcterms:modified xsi:type="dcterms:W3CDTF">2024-11-12T01:13:00Z</dcterms:modified>
</cp:coreProperties>
</file>