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Pr="0095789A" w:rsidRDefault="0095789A" w:rsidP="0095789A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</w:pPr>
      <w:r w:rsidRPr="0095789A"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  <w:t>ЧЕТВЕРОНОГИЙ ТЕНДЕР</w:t>
      </w:r>
    </w:p>
    <w:p w:rsidR="0095789A" w:rsidRPr="0095789A" w:rsidRDefault="0095789A" w:rsidP="00957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95789A">
        <w:rPr>
          <w:rFonts w:ascii="Segoe UI" w:eastAsia="Times New Roman" w:hAnsi="Segoe UI" w:cs="Segoe UI"/>
          <w:color w:val="777777"/>
          <w:sz w:val="21"/>
          <w:szCs w:val="21"/>
        </w:rPr>
        <w:t>21.01.2025</w:t>
      </w:r>
    </w:p>
    <w:p w:rsidR="0095789A" w:rsidRPr="0095789A" w:rsidRDefault="0095789A" w:rsidP="0095789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95789A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95789A" w:rsidRPr="0095789A" w:rsidRDefault="0095789A" w:rsidP="0095789A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95789A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95789A">
          <w:rPr>
            <w:rFonts w:ascii="Segoe UI" w:eastAsia="Times New Roman" w:hAnsi="Segoe UI" w:cs="Segoe UI"/>
            <w:color w:val="777777"/>
            <w:sz w:val="15"/>
          </w:rPr>
          <w:t>Общество</w:t>
        </w:r>
      </w:hyperlink>
    </w:p>
    <w:p w:rsidR="0095789A" w:rsidRPr="0095789A" w:rsidRDefault="0095789A" w:rsidP="0095789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5410200" cy="3059088"/>
            <wp:effectExtent l="19050" t="0" r="0" b="0"/>
            <wp:docPr id="1" name="Рисунок 1" descr="https://ust-abakan.ru/upload/iblock/781/97k00vkoc5m28k92ltkn7ida12lkzqu3/Foto-Lilii-TSygankovoy-12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781/97k00vkoc5m28k92ltkn7ida12lkzqu3/Foto-Lilii-TSygankovoy-12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5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89A" w:rsidRPr="0095789A" w:rsidRDefault="0095789A" w:rsidP="0095789A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95789A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Фото Лилия Цыганкова</w:t>
      </w:r>
    </w:p>
    <w:p w:rsidR="0095789A" w:rsidRPr="0095789A" w:rsidRDefault="0095789A" w:rsidP="0095789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</w:rPr>
      </w:pP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Наступил 2025 год, а значит пришло время заключать новый муниципальный контракт на ОСВВ. Что это такое? Разъясняем – отлов, стерилизация, вакцинация и выпуск бродячих собак (или, как принято их сейчас называть, собак без владельцев). 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По информации </w:t>
      </w:r>
      <w:proofErr w:type="spellStart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сельхозуправления</w:t>
      </w:r>
      <w:proofErr w:type="spell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 xml:space="preserve">, тендер был объявлен, уже позади конкурсные процедуры и определен подрядчик. Им стала индивидуальный предприниматель </w:t>
      </w:r>
      <w:proofErr w:type="spellStart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Коробейникова</w:t>
      </w:r>
      <w:proofErr w:type="spell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 xml:space="preserve"> О.С. По условиям контракта исполнитель должен освоить один миллион рублей. На эти средства будет выполнен отлов более 110 собак. Уже поступили первые 10 заявок, и специалисты приступили к работе.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От специалиста Управления сельского хозяйства Екатерины </w:t>
      </w:r>
      <w:proofErr w:type="spellStart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Надымовой</w:t>
      </w:r>
      <w:proofErr w:type="spell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 xml:space="preserve"> узнаем, как все работает: по жалобам жителей формируются заявки, согласно которым начинает работать подрядная организация, определенная на конкурсной основе. При отлове, если собака не проявляет признаков агрессии, с ней проводят все необходимые процедуры с обратным выпуском в прежнюю среду обитания (за исключением социальных учреждений и ряда объектов, включенных в перечень).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Мероприятия по программе ОСВВ начаты в районе с 2018 года. Как считает ведущий советник Управления ветеринарии Андрей </w:t>
      </w:r>
      <w:proofErr w:type="spellStart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Боготко</w:t>
      </w:r>
      <w:proofErr w:type="spell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, стерилизация во время ОСВВ устраняет агрессию бездомных собак по отношению к человеку. Стерилизованная собака, утратив детородные функции, меняет свое поведение.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  <w:t>Другое дело, если собака проявляет немотивированную агрессию – в таком случае она помещается на пожизненное содержание, поскольку законодательством введен запрет на возврат агрессивных животных без владельцев.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В настоящее время от нашего района в республиканском приюте на пожизненном 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lastRenderedPageBreak/>
        <w:t>содержании находятся 82 собаки. Контракт на 2 миллиона рублей заключен до мая текущего года. В месяц на одну собаку отводится 5500 рублей. По мере поступления в приют таких собак будет подписан следующий контракт.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  <w:t>По вопросу подачи заявок следует обращаться по телефону: 8(39032) 2-09-19 (Екатерина Сергеевна).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За 2024 год через программу ОСВВ прошло 187 собак: в </w:t>
      </w:r>
      <w:proofErr w:type="spellStart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рп</w:t>
      </w:r>
      <w:proofErr w:type="spell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 xml:space="preserve">. </w:t>
      </w:r>
      <w:proofErr w:type="spellStart"/>
      <w:proofErr w:type="gramStart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Усть</w:t>
      </w:r>
      <w:proofErr w:type="spell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- Абакане</w:t>
      </w:r>
      <w:proofErr w:type="gram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 xml:space="preserve"> – 94, а. Райкове – 9, с. Зеленом – 15, с. Калинино – 15, с. Московском – 8, а. Сапогове – 12, д. Чапаеве – 12, п. Им. Ильича – 4, п. Тепличном – 11, п. Расцвете – 1, д. Курганной – 5, п. </w:t>
      </w:r>
      <w:proofErr w:type="spellStart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>Ташебе</w:t>
      </w:r>
      <w:proofErr w:type="spellEnd"/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t xml:space="preserve"> – 1. </w:t>
      </w:r>
      <w:r w:rsidRPr="0095789A">
        <w:rPr>
          <w:rFonts w:ascii="Segoe UI" w:eastAsia="Times New Roman" w:hAnsi="Segoe UI" w:cs="Segoe UI"/>
          <w:color w:val="444444"/>
          <w:sz w:val="24"/>
          <w:szCs w:val="24"/>
        </w:rPr>
        <w:br/>
      </w:r>
      <w:hyperlink r:id="rId7" w:history="1">
        <w:r w:rsidRPr="0095789A">
          <w:rPr>
            <w:rFonts w:ascii="Segoe UI" w:eastAsia="Times New Roman" w:hAnsi="Segoe UI" w:cs="Segoe UI"/>
            <w:color w:val="009FE3"/>
            <w:sz w:val="24"/>
            <w:szCs w:val="24"/>
          </w:rPr>
          <w:t>#</w:t>
        </w:r>
        <w:proofErr w:type="spellStart"/>
        <w:r w:rsidRPr="0095789A">
          <w:rPr>
            <w:rFonts w:ascii="Segoe UI" w:eastAsia="Times New Roman" w:hAnsi="Segoe UI" w:cs="Segoe UI"/>
            <w:color w:val="009FE3"/>
            <w:sz w:val="24"/>
            <w:szCs w:val="24"/>
          </w:rPr>
          <w:t>ЛилияЦыганкова</w:t>
        </w:r>
        <w:proofErr w:type="spellEnd"/>
      </w:hyperlink>
    </w:p>
    <w:p w:rsidR="00F616CE" w:rsidRDefault="00F616CE"/>
    <w:sectPr w:rsidR="00F6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89A"/>
    <w:rsid w:val="0095789A"/>
    <w:rsid w:val="00F6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578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18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39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78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5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28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B%D0%B8%D0%BB%D0%B8%D1%8F%D0%A6%D1%8B%D0%B3%D0%B0%D0%BD%D0%BA%D0%BE%D0%B2%D0%B0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781/97k00vkoc5m28k92ltkn7ida12lkzqu3/Foto-Lilii-TSygankovoy-1233.jpg" TargetMode="External"/><Relationship Id="rId4" Type="http://schemas.openxmlformats.org/officeDocument/2006/relationships/hyperlink" Target="https://ust-abakan.ru/press-center/news/?subj=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2025-08-14T04:06:00Z</dcterms:created>
  <dcterms:modified xsi:type="dcterms:W3CDTF">2025-08-14T04:07:00Z</dcterms:modified>
</cp:coreProperties>
</file>