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3E" w:rsidRPr="00FC2C3E" w:rsidRDefault="00FC2C3E" w:rsidP="00FC2C3E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</w:pPr>
      <w:r w:rsidRPr="00FC2C3E"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  <w:t>БЕРЕГИТЕ СЕБЯ И СВОЁ ИМУЩЕСТВО!</w:t>
      </w:r>
    </w:p>
    <w:p w:rsidR="00FC2C3E" w:rsidRPr="00FC2C3E" w:rsidRDefault="00FC2C3E" w:rsidP="00FC2C3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FC2C3E">
        <w:rPr>
          <w:rFonts w:ascii="Segoe UI" w:eastAsia="Times New Roman" w:hAnsi="Segoe UI" w:cs="Segoe UI"/>
          <w:color w:val="777777"/>
          <w:sz w:val="21"/>
          <w:szCs w:val="21"/>
        </w:rPr>
        <w:t>22.05.2025</w:t>
      </w:r>
    </w:p>
    <w:p w:rsidR="00FC2C3E" w:rsidRPr="00FC2C3E" w:rsidRDefault="00FC2C3E" w:rsidP="00FC2C3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FC2C3E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FC2C3E" w:rsidRPr="00FC2C3E" w:rsidRDefault="00FC2C3E" w:rsidP="00FC2C3E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FC2C3E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FC2C3E">
          <w:rPr>
            <w:rFonts w:ascii="Segoe UI" w:eastAsia="Times New Roman" w:hAnsi="Segoe UI" w:cs="Segoe UI"/>
            <w:color w:val="777777"/>
            <w:sz w:val="15"/>
          </w:rPr>
          <w:t>Общество</w:t>
        </w:r>
      </w:hyperlink>
    </w:p>
    <w:p w:rsidR="00FC2C3E" w:rsidRPr="00FC2C3E" w:rsidRDefault="00FC2C3E" w:rsidP="00FC2C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5715000" cy="3810000"/>
            <wp:effectExtent l="19050" t="0" r="0" b="0"/>
            <wp:docPr id="1" name="Рисунок 1" descr="https://ust-abakan.ru/upload/iblock/41c/kei219m6fwhxgr4bjw2ls9trs26t9a88/Izobrazhenie-administratsii-rayona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41c/kei219m6fwhxgr4bjw2ls9trs26t9a88/Izobrazhenie-administratsii-rayona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3E" w:rsidRPr="00FC2C3E" w:rsidRDefault="00FC2C3E" w:rsidP="00FC2C3E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FC2C3E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 xml:space="preserve">Фото Администрация </w:t>
      </w:r>
      <w:proofErr w:type="spellStart"/>
      <w:r w:rsidRPr="00FC2C3E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Усть-Абаканского</w:t>
      </w:r>
      <w:proofErr w:type="spellEnd"/>
      <w:r w:rsidRPr="00FC2C3E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 xml:space="preserve"> района Республики Хакасия</w:t>
      </w:r>
    </w:p>
    <w:p w:rsidR="00FC2C3E" w:rsidRPr="00FC2C3E" w:rsidRDefault="00FC2C3E" w:rsidP="00FC2C3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</w:rPr>
      </w:pPr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>Согласно предупреждению о неблагоприятных гидрологических явлениях Хакасского ЦГМС – филиала ФГБУ «Среднесибирское управление по гидрометеорологии и мониторингу окружающей среды», в связи с прошедшими осадками ожидается колебание уровней воды разной интенсивности на реках, возможен выход воды на пойму, затопление пониженных участков местности на территории Республики Хакасия.</w:t>
      </w:r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В период весеннего половодья для недопущения несчастных случаев фермерам рекомендовано: запретить выпас </w:t>
      </w:r>
      <w:proofErr w:type="spellStart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>сельхозживотных</w:t>
      </w:r>
      <w:proofErr w:type="spellEnd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 xml:space="preserve"> в поймах рек Абакан, </w:t>
      </w:r>
      <w:proofErr w:type="spellStart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>Ташеба</w:t>
      </w:r>
      <w:proofErr w:type="spellEnd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>Уйбат</w:t>
      </w:r>
      <w:proofErr w:type="spellEnd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 xml:space="preserve"> и озёр, а также необходимо обратить особое внимание на маршруты перегона скота. </w:t>
      </w:r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Администрация </w:t>
      </w:r>
      <w:proofErr w:type="spellStart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>Усть-Абаканского</w:t>
      </w:r>
      <w:proofErr w:type="spellEnd"/>
      <w:r w:rsidRPr="00FC2C3E">
        <w:rPr>
          <w:rFonts w:ascii="Segoe UI" w:eastAsia="Times New Roman" w:hAnsi="Segoe UI" w:cs="Segoe UI"/>
          <w:color w:val="444444"/>
          <w:sz w:val="24"/>
          <w:szCs w:val="24"/>
        </w:rPr>
        <w:t xml:space="preserve"> района Республики Хакасия</w:t>
      </w:r>
    </w:p>
    <w:p w:rsidR="000F2A6F" w:rsidRDefault="000F2A6F"/>
    <w:sectPr w:rsidR="000F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C3E"/>
    <w:rsid w:val="000F2A6F"/>
    <w:rsid w:val="00FC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C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C2C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92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04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79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41c/kei219m6fwhxgr4bjw2ls9trs26t9a88/Izobrazhenie-administratsii-rayona01.jpg" TargetMode="External"/><Relationship Id="rId4" Type="http://schemas.openxmlformats.org/officeDocument/2006/relationships/hyperlink" Target="https://ust-abakan.ru/press-center/news/?subj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2025-08-14T03:52:00Z</dcterms:created>
  <dcterms:modified xsi:type="dcterms:W3CDTF">2025-08-14T03:52:00Z</dcterms:modified>
</cp:coreProperties>
</file>